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636B1" w14:textId="5F57842C" w:rsidR="00457BF1" w:rsidRPr="00B61E31" w:rsidRDefault="00457BF1" w:rsidP="00457BF1">
      <w:pPr>
        <w:pStyle w:val="Heading1"/>
        <w:rPr>
          <w:rFonts w:ascii="Arial" w:hAnsi="Arial" w:cs="Arial"/>
          <w:color w:val="auto"/>
        </w:rPr>
      </w:pPr>
      <w:r w:rsidRPr="00B61E31">
        <w:rPr>
          <w:rFonts w:ascii="Arial" w:hAnsi="Arial" w:cs="Arial"/>
          <w:color w:val="auto"/>
        </w:rPr>
        <w:t xml:space="preserve">Open Banking Reauthentication for </w:t>
      </w:r>
      <w:r w:rsidRPr="00B61E31">
        <w:rPr>
          <w:rFonts w:ascii="Arial" w:hAnsi="Arial" w:cs="Arial"/>
          <w:b/>
          <w:bCs/>
          <w:color w:val="auto"/>
        </w:rPr>
        <w:t>Advisors</w:t>
      </w:r>
    </w:p>
    <w:p w14:paraId="62824B33" w14:textId="07F6395B" w:rsidR="00FA2B2A" w:rsidRPr="00B61E31" w:rsidRDefault="00457BF1" w:rsidP="00E52A9B">
      <w:pPr>
        <w:rPr>
          <w:rFonts w:ascii="Arial" w:hAnsi="Arial" w:cs="Arial"/>
        </w:rPr>
      </w:pPr>
      <w:r w:rsidRPr="00B61E31">
        <w:rPr>
          <w:rFonts w:ascii="Arial" w:hAnsi="Arial" w:cs="Arial"/>
        </w:rPr>
        <w:t>3 minutes</w:t>
      </w:r>
      <w:r w:rsidR="00662183" w:rsidRPr="00B61E31">
        <w:rPr>
          <w:rFonts w:ascii="Arial" w:hAnsi="Arial" w:cs="Arial"/>
        </w:rPr>
        <w:t xml:space="preserve"> max</w:t>
      </w:r>
      <w:r w:rsidRPr="00B61E31">
        <w:rPr>
          <w:rFonts w:ascii="Arial" w:hAnsi="Arial" w:cs="Arial"/>
        </w:rPr>
        <w:t>, or approximately 390 words maximum (at 130 wpm)</w:t>
      </w:r>
    </w:p>
    <w:tbl>
      <w:tblPr>
        <w:tblStyle w:val="TableGrid"/>
        <w:tblW w:w="0" w:type="auto"/>
        <w:tblLook w:val="04A0" w:firstRow="1" w:lastRow="0" w:firstColumn="1" w:lastColumn="0" w:noHBand="0" w:noVBand="1"/>
      </w:tblPr>
      <w:tblGrid>
        <w:gridCol w:w="9535"/>
      </w:tblGrid>
      <w:tr w:rsidR="000E398E" w:rsidRPr="00B61E31" w14:paraId="688DD496" w14:textId="77777777" w:rsidTr="000E398E">
        <w:tc>
          <w:tcPr>
            <w:tcW w:w="9535" w:type="dxa"/>
            <w:shd w:val="clear" w:color="auto" w:fill="D9D9D9" w:themeFill="background1" w:themeFillShade="D9"/>
          </w:tcPr>
          <w:p w14:paraId="679B2103" w14:textId="79BB142D" w:rsidR="000E398E" w:rsidRPr="00B61E31" w:rsidRDefault="000E398E" w:rsidP="00E52A9B">
            <w:pPr>
              <w:rPr>
                <w:rFonts w:ascii="Arial" w:hAnsi="Arial" w:cs="Arial"/>
                <w:b/>
                <w:bCs/>
              </w:rPr>
            </w:pPr>
            <w:r w:rsidRPr="00B61E31">
              <w:rPr>
                <w:rFonts w:ascii="Arial" w:hAnsi="Arial" w:cs="Arial"/>
                <w:b/>
                <w:bCs/>
              </w:rPr>
              <w:t>Audio Narration (347 words)</w:t>
            </w:r>
          </w:p>
        </w:tc>
      </w:tr>
      <w:tr w:rsidR="000E398E" w:rsidRPr="00B61E31" w14:paraId="698388A1" w14:textId="77777777" w:rsidTr="000E398E">
        <w:tc>
          <w:tcPr>
            <w:tcW w:w="9535" w:type="dxa"/>
          </w:tcPr>
          <w:p w14:paraId="03A20230" w14:textId="791C3B0F" w:rsidR="000E398E" w:rsidRPr="00B61E31" w:rsidRDefault="000E398E" w:rsidP="003068F6">
            <w:pPr>
              <w:rPr>
                <w:rFonts w:ascii="Arial" w:hAnsi="Arial" w:cs="Arial"/>
              </w:rPr>
            </w:pPr>
            <w:r w:rsidRPr="00B61E31">
              <w:rPr>
                <w:rFonts w:ascii="Arial" w:hAnsi="Arial" w:cs="Arial"/>
              </w:rPr>
              <w:t>This video will address the steps required to reestablish connectivity for accounts that have been migrated from web connections to Open Banking API connections.</w:t>
            </w:r>
          </w:p>
          <w:p w14:paraId="46FFB47A" w14:textId="04B3E2B4" w:rsidR="000E398E" w:rsidRPr="00B61E31" w:rsidRDefault="000E398E" w:rsidP="003068F6">
            <w:pPr>
              <w:rPr>
                <w:rFonts w:ascii="Arial" w:hAnsi="Arial" w:cs="Arial"/>
              </w:rPr>
            </w:pPr>
          </w:p>
        </w:tc>
      </w:tr>
      <w:tr w:rsidR="000E398E" w:rsidRPr="00B61E31" w14:paraId="742D9B0C" w14:textId="77777777" w:rsidTr="000E398E">
        <w:tc>
          <w:tcPr>
            <w:tcW w:w="9535" w:type="dxa"/>
          </w:tcPr>
          <w:p w14:paraId="0C66A65B" w14:textId="5A97A57F" w:rsidR="000E398E" w:rsidRPr="00B61E31" w:rsidRDefault="000E398E" w:rsidP="003068F6">
            <w:pPr>
              <w:rPr>
                <w:rFonts w:ascii="Arial" w:hAnsi="Arial" w:cs="Arial"/>
              </w:rPr>
            </w:pPr>
            <w:r w:rsidRPr="00B61E31">
              <w:rPr>
                <w:rFonts w:ascii="Arial" w:hAnsi="Arial" w:cs="Arial"/>
              </w:rPr>
              <w:t xml:space="preserve">As a reminder, with </w:t>
            </w:r>
            <w:r w:rsidRPr="00B61E31">
              <w:rPr>
                <w:rFonts w:ascii="Arial" w:hAnsi="Arial" w:cs="Arial"/>
                <w:u w:val="single"/>
              </w:rPr>
              <w:t>web connections</w:t>
            </w:r>
            <w:r w:rsidRPr="00B61E31">
              <w:rPr>
                <w:rFonts w:ascii="Arial" w:hAnsi="Arial" w:cs="Arial"/>
              </w:rPr>
              <w:t>, the aggregator is required to store the account holder’s login credentials in order to collect their account data. This can cause downtime due to changes to user credentials or the financial institution website.</w:t>
            </w:r>
          </w:p>
          <w:p w14:paraId="3E9F5649" w14:textId="77777777" w:rsidR="000E398E" w:rsidRPr="00B61E31" w:rsidRDefault="000E398E" w:rsidP="003068F6">
            <w:pPr>
              <w:rPr>
                <w:rFonts w:ascii="Arial" w:hAnsi="Arial" w:cs="Arial"/>
              </w:rPr>
            </w:pPr>
          </w:p>
          <w:p w14:paraId="3DBF568D" w14:textId="06D0AF76" w:rsidR="000E398E" w:rsidRPr="00B61E31" w:rsidRDefault="000E398E" w:rsidP="003068F6">
            <w:pPr>
              <w:rPr>
                <w:rFonts w:ascii="Arial" w:hAnsi="Arial" w:cs="Arial"/>
              </w:rPr>
            </w:pPr>
            <w:r w:rsidRPr="00B61E31">
              <w:rPr>
                <w:rFonts w:ascii="Arial" w:hAnsi="Arial" w:cs="Arial"/>
              </w:rPr>
              <w:t xml:space="preserve">Compare this to </w:t>
            </w:r>
            <w:r w:rsidRPr="00B61E31">
              <w:rPr>
                <w:rFonts w:ascii="Arial" w:hAnsi="Arial" w:cs="Arial"/>
                <w:u w:val="single"/>
              </w:rPr>
              <w:t>Open Banking APIs</w:t>
            </w:r>
            <w:r w:rsidRPr="00B61E31">
              <w:rPr>
                <w:rFonts w:ascii="Arial" w:hAnsi="Arial" w:cs="Arial"/>
              </w:rPr>
              <w:t>, where the account holder authenticates once directly to their financial institution to issue an authorization token to the aggregator.</w:t>
            </w:r>
          </w:p>
          <w:p w14:paraId="1BFE4A7E" w14:textId="77777777" w:rsidR="000E398E" w:rsidRPr="00B61E31" w:rsidRDefault="000E398E" w:rsidP="003068F6">
            <w:pPr>
              <w:rPr>
                <w:rFonts w:ascii="Arial" w:hAnsi="Arial" w:cs="Arial"/>
              </w:rPr>
            </w:pPr>
          </w:p>
          <w:p w14:paraId="175011E0" w14:textId="2759BB09" w:rsidR="000E398E" w:rsidRPr="00B61E31" w:rsidRDefault="000E398E" w:rsidP="003068F6">
            <w:pPr>
              <w:rPr>
                <w:rFonts w:ascii="Arial" w:hAnsi="Arial" w:cs="Arial"/>
              </w:rPr>
            </w:pPr>
            <w:r w:rsidRPr="00B61E31">
              <w:rPr>
                <w:rFonts w:ascii="Arial" w:hAnsi="Arial" w:cs="Arial"/>
              </w:rPr>
              <w:t>This secure token is used to aggregate the users’ account data until the user revokes consent, providing a higher level of reliability and security for the account holder, the advisor, and the financial institution.</w:t>
            </w:r>
          </w:p>
          <w:p w14:paraId="511E85FC" w14:textId="4B12AAC1" w:rsidR="000E398E" w:rsidRPr="00B61E31" w:rsidRDefault="000E398E" w:rsidP="00F52158">
            <w:pPr>
              <w:rPr>
                <w:rFonts w:ascii="Arial" w:hAnsi="Arial" w:cs="Arial"/>
              </w:rPr>
            </w:pPr>
          </w:p>
        </w:tc>
      </w:tr>
      <w:tr w:rsidR="000E398E" w:rsidRPr="00B61E31" w14:paraId="409BD1FA" w14:textId="77777777" w:rsidTr="000E398E">
        <w:tc>
          <w:tcPr>
            <w:tcW w:w="9535" w:type="dxa"/>
          </w:tcPr>
          <w:p w14:paraId="57930056" w14:textId="2063A63D" w:rsidR="000E398E" w:rsidRPr="00B61E31" w:rsidRDefault="000E398E" w:rsidP="003068F6">
            <w:pPr>
              <w:rPr>
                <w:rFonts w:ascii="Arial" w:hAnsi="Arial" w:cs="Arial"/>
              </w:rPr>
            </w:pPr>
            <w:r w:rsidRPr="00B61E31">
              <w:rPr>
                <w:rFonts w:ascii="Arial" w:hAnsi="Arial" w:cs="Arial"/>
              </w:rPr>
              <w:t>You should be provided advanced notice before migrations take place.</w:t>
            </w:r>
          </w:p>
          <w:p w14:paraId="12357A06" w14:textId="77777777" w:rsidR="000E398E" w:rsidRPr="00B61E31" w:rsidRDefault="000E398E" w:rsidP="003068F6">
            <w:pPr>
              <w:rPr>
                <w:rFonts w:ascii="Arial" w:hAnsi="Arial" w:cs="Arial"/>
              </w:rPr>
            </w:pPr>
          </w:p>
          <w:p w14:paraId="2119BCAE" w14:textId="5AFFE456" w:rsidR="000E398E" w:rsidRPr="00B61E31" w:rsidRDefault="000E398E" w:rsidP="003068F6">
            <w:pPr>
              <w:rPr>
                <w:rFonts w:ascii="Arial" w:hAnsi="Arial" w:cs="Arial"/>
              </w:rPr>
            </w:pPr>
            <w:r w:rsidRPr="00B61E31">
              <w:rPr>
                <w:rFonts w:ascii="Arial" w:hAnsi="Arial" w:cs="Arial"/>
              </w:rPr>
              <w:t xml:space="preserve">When a migration executes, expect to see the name of the Institution change to ByAllAccounts’ new Open Banking API connection, and also expect to see both the Credential and Accounts display alarms indicating “missing credential info.” </w:t>
            </w:r>
          </w:p>
          <w:p w14:paraId="53580C05" w14:textId="77777777" w:rsidR="000E398E" w:rsidRPr="00B61E31" w:rsidRDefault="000E398E" w:rsidP="004213E3">
            <w:pPr>
              <w:rPr>
                <w:rFonts w:ascii="Arial" w:hAnsi="Arial" w:cs="Arial"/>
              </w:rPr>
            </w:pPr>
          </w:p>
          <w:p w14:paraId="0338CAF7" w14:textId="26DF0F4C" w:rsidR="000E398E" w:rsidRPr="00B61E31" w:rsidRDefault="000E398E" w:rsidP="004213E3">
            <w:pPr>
              <w:rPr>
                <w:rFonts w:ascii="Arial" w:hAnsi="Arial" w:cs="Arial"/>
              </w:rPr>
            </w:pPr>
            <w:r w:rsidRPr="00B61E31">
              <w:rPr>
                <w:rFonts w:ascii="Arial" w:hAnsi="Arial" w:cs="Arial"/>
              </w:rPr>
              <w:t>To resume aggregation of these accounts, or to authorize any new accounts, you must complete the simple Open Banking authorization.</w:t>
            </w:r>
          </w:p>
          <w:p w14:paraId="098246DC" w14:textId="77777777" w:rsidR="000E398E" w:rsidRPr="00B61E31" w:rsidRDefault="000E398E" w:rsidP="004213E3">
            <w:pPr>
              <w:rPr>
                <w:rFonts w:ascii="Arial" w:hAnsi="Arial" w:cs="Arial"/>
              </w:rPr>
            </w:pPr>
          </w:p>
          <w:p w14:paraId="171D71C6" w14:textId="2C41E01B" w:rsidR="000E398E" w:rsidRPr="00B61E31" w:rsidRDefault="000E398E" w:rsidP="004213E3">
            <w:pPr>
              <w:rPr>
                <w:rFonts w:ascii="Arial" w:hAnsi="Arial" w:cs="Arial"/>
              </w:rPr>
            </w:pPr>
            <w:r w:rsidRPr="00B61E31">
              <w:rPr>
                <w:rFonts w:ascii="Arial" w:hAnsi="Arial" w:cs="Arial"/>
              </w:rPr>
              <w:t xml:space="preserve">It’s important to follow the steps in the order outlined in this video to successfully retain all account identification and history for existing accounts, and also discover any newly authorized accounts. </w:t>
            </w:r>
          </w:p>
          <w:p w14:paraId="768A136A" w14:textId="77777777" w:rsidR="000E398E" w:rsidRPr="00B61E31" w:rsidRDefault="000E398E" w:rsidP="004213E3">
            <w:pPr>
              <w:rPr>
                <w:rFonts w:ascii="Arial" w:hAnsi="Arial" w:cs="Arial"/>
              </w:rPr>
            </w:pPr>
          </w:p>
          <w:p w14:paraId="41B2650C" w14:textId="65387818" w:rsidR="000E398E" w:rsidRPr="00B61E31" w:rsidRDefault="000E398E" w:rsidP="004213E3">
            <w:pPr>
              <w:rPr>
                <w:rFonts w:ascii="Arial" w:hAnsi="Arial" w:cs="Arial"/>
              </w:rPr>
            </w:pPr>
          </w:p>
        </w:tc>
      </w:tr>
      <w:tr w:rsidR="000E398E" w:rsidRPr="00B61E31" w14:paraId="5D86E7AC" w14:textId="77777777" w:rsidTr="000E398E">
        <w:tc>
          <w:tcPr>
            <w:tcW w:w="9535" w:type="dxa"/>
          </w:tcPr>
          <w:p w14:paraId="04660C83" w14:textId="59BBE398" w:rsidR="000E398E" w:rsidRPr="00B61E31" w:rsidRDefault="000E398E" w:rsidP="00297F18">
            <w:pPr>
              <w:pStyle w:val="ListParagraph"/>
              <w:numPr>
                <w:ilvl w:val="0"/>
                <w:numId w:val="12"/>
              </w:numPr>
              <w:rPr>
                <w:rFonts w:ascii="Arial" w:hAnsi="Arial" w:cs="Arial"/>
              </w:rPr>
            </w:pPr>
            <w:r w:rsidRPr="00B61E31">
              <w:rPr>
                <w:rFonts w:ascii="Arial" w:hAnsi="Arial" w:cs="Arial"/>
              </w:rPr>
              <w:t xml:space="preserve">In AccountView, navigate to the </w:t>
            </w:r>
            <w:r w:rsidRPr="00B61E31">
              <w:rPr>
                <w:rFonts w:ascii="Arial" w:hAnsi="Arial" w:cs="Arial"/>
                <w:b/>
                <w:bCs/>
              </w:rPr>
              <w:t>Credentials Tab</w:t>
            </w:r>
            <w:r w:rsidRPr="00B61E31">
              <w:rPr>
                <w:rFonts w:ascii="Arial" w:hAnsi="Arial" w:cs="Arial"/>
              </w:rPr>
              <w:t xml:space="preserve"> and select the </w:t>
            </w:r>
            <w:r w:rsidRPr="00B61E31">
              <w:rPr>
                <w:rFonts w:ascii="Arial" w:hAnsi="Arial" w:cs="Arial"/>
                <w:b/>
                <w:bCs/>
              </w:rPr>
              <w:t>Migrated Credential</w:t>
            </w:r>
            <w:r w:rsidRPr="00B61E31">
              <w:rPr>
                <w:rFonts w:ascii="Arial" w:hAnsi="Arial" w:cs="Arial"/>
              </w:rPr>
              <w:t>.</w:t>
            </w:r>
          </w:p>
          <w:p w14:paraId="21709FB3" w14:textId="5FFE0AB5" w:rsidR="000E398E" w:rsidRPr="00B61E31" w:rsidRDefault="000E398E" w:rsidP="00297F18">
            <w:pPr>
              <w:pStyle w:val="ListParagraph"/>
              <w:numPr>
                <w:ilvl w:val="0"/>
                <w:numId w:val="12"/>
              </w:numPr>
              <w:rPr>
                <w:rFonts w:ascii="Arial" w:hAnsi="Arial" w:cs="Arial"/>
              </w:rPr>
            </w:pPr>
            <w:r w:rsidRPr="00B61E31">
              <w:rPr>
                <w:rFonts w:ascii="Arial" w:hAnsi="Arial" w:cs="Arial"/>
              </w:rPr>
              <w:t xml:space="preserve">Click </w:t>
            </w:r>
            <w:r w:rsidRPr="00B61E31">
              <w:rPr>
                <w:rFonts w:ascii="Arial" w:hAnsi="Arial" w:cs="Arial"/>
                <w:b/>
                <w:bCs/>
              </w:rPr>
              <w:t>Add Accounts</w:t>
            </w:r>
            <w:r w:rsidRPr="00B61E31">
              <w:rPr>
                <w:rFonts w:ascii="Arial" w:hAnsi="Arial" w:cs="Arial"/>
              </w:rPr>
              <w:t>.</w:t>
            </w:r>
          </w:p>
          <w:p w14:paraId="635AD3E0" w14:textId="57ADC279" w:rsidR="000E398E" w:rsidRPr="00B61E31" w:rsidRDefault="000E398E" w:rsidP="00297F18">
            <w:pPr>
              <w:pStyle w:val="ListParagraph"/>
              <w:numPr>
                <w:ilvl w:val="0"/>
                <w:numId w:val="12"/>
              </w:numPr>
              <w:rPr>
                <w:rFonts w:ascii="Arial" w:hAnsi="Arial" w:cs="Arial"/>
              </w:rPr>
            </w:pPr>
            <w:r w:rsidRPr="00B61E31">
              <w:rPr>
                <w:rFonts w:ascii="Arial" w:hAnsi="Arial" w:cs="Arial"/>
              </w:rPr>
              <w:t>In the newly displayed window, log in to the financial institution.</w:t>
            </w:r>
          </w:p>
          <w:p w14:paraId="1184F0CE" w14:textId="77777777" w:rsidR="000E398E" w:rsidRPr="00B61E31" w:rsidRDefault="000E398E" w:rsidP="004F7B07">
            <w:pPr>
              <w:pStyle w:val="ListParagraph"/>
              <w:numPr>
                <w:ilvl w:val="0"/>
                <w:numId w:val="12"/>
              </w:numPr>
              <w:rPr>
                <w:rFonts w:ascii="Arial" w:hAnsi="Arial" w:cs="Arial"/>
              </w:rPr>
            </w:pPr>
            <w:r w:rsidRPr="00B61E31">
              <w:rPr>
                <w:rFonts w:ascii="Arial" w:hAnsi="Arial" w:cs="Arial"/>
              </w:rPr>
              <w:t xml:space="preserve">Accept the </w:t>
            </w:r>
            <w:r w:rsidRPr="00B61E31">
              <w:rPr>
                <w:rFonts w:ascii="Arial" w:hAnsi="Arial" w:cs="Arial"/>
                <w:b/>
                <w:bCs/>
              </w:rPr>
              <w:t>Account Sharing Consent Terms</w:t>
            </w:r>
            <w:r w:rsidRPr="00B61E31">
              <w:rPr>
                <w:rFonts w:ascii="Arial" w:hAnsi="Arial" w:cs="Arial"/>
              </w:rPr>
              <w:t xml:space="preserve"> and select the </w:t>
            </w:r>
            <w:r w:rsidRPr="00B61E31">
              <w:rPr>
                <w:rFonts w:ascii="Arial" w:hAnsi="Arial" w:cs="Arial"/>
                <w:b/>
                <w:bCs/>
              </w:rPr>
              <w:t>Accounts</w:t>
            </w:r>
            <w:r w:rsidRPr="00B61E31">
              <w:rPr>
                <w:rFonts w:ascii="Arial" w:hAnsi="Arial" w:cs="Arial"/>
              </w:rPr>
              <w:t xml:space="preserve"> you wish to aggregate. Review and finish, which will return you to AccountView.</w:t>
            </w:r>
          </w:p>
          <w:p w14:paraId="51007507" w14:textId="77777777" w:rsidR="000E398E" w:rsidRPr="00B61E31" w:rsidRDefault="000E398E" w:rsidP="004F7B07">
            <w:pPr>
              <w:pStyle w:val="ListParagraph"/>
              <w:numPr>
                <w:ilvl w:val="0"/>
                <w:numId w:val="12"/>
              </w:numPr>
              <w:rPr>
                <w:rFonts w:ascii="Arial" w:hAnsi="Arial" w:cs="Arial"/>
              </w:rPr>
            </w:pPr>
            <w:r w:rsidRPr="00B61E31">
              <w:rPr>
                <w:rFonts w:ascii="Arial" w:hAnsi="Arial" w:cs="Arial"/>
              </w:rPr>
              <w:t>Once the authorization process has completed, you will be presented with a message indicating if any new accounts were discovered.</w:t>
            </w:r>
          </w:p>
          <w:p w14:paraId="56581BC2" w14:textId="49399B07" w:rsidR="000E398E" w:rsidRPr="00B61E31" w:rsidRDefault="000E398E" w:rsidP="005A659D">
            <w:pPr>
              <w:pStyle w:val="ListParagraph"/>
              <w:numPr>
                <w:ilvl w:val="1"/>
                <w:numId w:val="12"/>
              </w:numPr>
              <w:rPr>
                <w:rFonts w:ascii="Arial" w:hAnsi="Arial" w:cs="Arial"/>
              </w:rPr>
            </w:pPr>
            <w:r w:rsidRPr="00B61E31">
              <w:rPr>
                <w:rFonts w:ascii="Arial" w:hAnsi="Arial" w:cs="Arial"/>
              </w:rPr>
              <w:t>For example, if you chose to authorize more accounts than those previously aggregating through the web connection, you will see those accounts listed here.</w:t>
            </w:r>
          </w:p>
          <w:p w14:paraId="3E703BC7" w14:textId="06E40D77" w:rsidR="000E398E" w:rsidRPr="00B61E31" w:rsidRDefault="000E398E" w:rsidP="002B7752">
            <w:pPr>
              <w:pStyle w:val="ListParagraph"/>
              <w:numPr>
                <w:ilvl w:val="0"/>
                <w:numId w:val="12"/>
              </w:numPr>
              <w:rPr>
                <w:rFonts w:ascii="Arial" w:hAnsi="Arial" w:cs="Arial"/>
              </w:rPr>
            </w:pPr>
            <w:r w:rsidRPr="00B61E31">
              <w:rPr>
                <w:rFonts w:ascii="Arial" w:hAnsi="Arial" w:cs="Arial"/>
              </w:rPr>
              <w:t xml:space="preserve">From the Add Accounts box, select </w:t>
            </w:r>
            <w:r w:rsidRPr="00B61E31">
              <w:rPr>
                <w:rFonts w:ascii="Arial" w:hAnsi="Arial" w:cs="Arial"/>
                <w:b/>
                <w:bCs/>
              </w:rPr>
              <w:t>Save and Aggregate</w:t>
            </w:r>
            <w:r w:rsidRPr="00B61E31">
              <w:rPr>
                <w:rFonts w:ascii="Arial" w:hAnsi="Arial" w:cs="Arial"/>
              </w:rPr>
              <w:t>.</w:t>
            </w:r>
          </w:p>
          <w:p w14:paraId="019331A4" w14:textId="09D45339" w:rsidR="000E398E" w:rsidRPr="00B61E31" w:rsidRDefault="000E398E" w:rsidP="002B7752">
            <w:pPr>
              <w:pStyle w:val="ListParagraph"/>
              <w:numPr>
                <w:ilvl w:val="0"/>
                <w:numId w:val="12"/>
              </w:numPr>
              <w:rPr>
                <w:rFonts w:ascii="Arial" w:hAnsi="Arial" w:cs="Arial"/>
              </w:rPr>
            </w:pPr>
            <w:r w:rsidRPr="00B61E31">
              <w:rPr>
                <w:rFonts w:ascii="Arial" w:hAnsi="Arial" w:cs="Arial"/>
              </w:rPr>
              <w:t xml:space="preserve">You may then return to the </w:t>
            </w:r>
            <w:r w:rsidRPr="00B61E31">
              <w:rPr>
                <w:rFonts w:ascii="Arial" w:hAnsi="Arial" w:cs="Arial"/>
                <w:b/>
                <w:bCs/>
              </w:rPr>
              <w:t>Accounts Tab</w:t>
            </w:r>
            <w:r w:rsidRPr="00B61E31">
              <w:rPr>
                <w:rFonts w:ascii="Arial" w:hAnsi="Arial" w:cs="Arial"/>
              </w:rPr>
              <w:t xml:space="preserve"> and view all prior accounts as well as any newly authorized accounts – now successfully aggregating from the new Open Banking connection.</w:t>
            </w:r>
          </w:p>
          <w:p w14:paraId="038D1740" w14:textId="45466FC7" w:rsidR="000E398E" w:rsidRPr="00B61E31" w:rsidRDefault="000E398E" w:rsidP="003068F6">
            <w:pPr>
              <w:rPr>
                <w:rFonts w:ascii="Arial" w:hAnsi="Arial" w:cs="Arial"/>
              </w:rPr>
            </w:pPr>
          </w:p>
        </w:tc>
      </w:tr>
    </w:tbl>
    <w:p w14:paraId="305477C1" w14:textId="31B569FC" w:rsidR="00457BF1" w:rsidRPr="00B61E31" w:rsidRDefault="00457BF1" w:rsidP="0032174A">
      <w:pPr>
        <w:rPr>
          <w:rFonts w:ascii="Arial" w:hAnsi="Arial" w:cs="Arial"/>
        </w:rPr>
      </w:pPr>
    </w:p>
    <w:sectPr w:rsidR="00457BF1" w:rsidRPr="00B61E31" w:rsidSect="00E52A9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4DF09" w14:textId="77777777" w:rsidR="00AA0483" w:rsidRDefault="00AA0483" w:rsidP="00C533BA">
      <w:pPr>
        <w:spacing w:after="0" w:line="240" w:lineRule="auto"/>
      </w:pPr>
      <w:r>
        <w:separator/>
      </w:r>
    </w:p>
  </w:endnote>
  <w:endnote w:type="continuationSeparator" w:id="0">
    <w:p w14:paraId="1BDF7A6B" w14:textId="77777777" w:rsidR="00AA0483" w:rsidRDefault="00AA0483" w:rsidP="00C533BA">
      <w:pPr>
        <w:spacing w:after="0" w:line="240" w:lineRule="auto"/>
      </w:pPr>
      <w:r>
        <w:continuationSeparator/>
      </w:r>
    </w:p>
  </w:endnote>
  <w:endnote w:type="continuationNotice" w:id="1">
    <w:p w14:paraId="2045A3A0" w14:textId="77777777" w:rsidR="00AA0483" w:rsidRDefault="00AA04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DFFC6" w14:textId="77777777" w:rsidR="00AA0483" w:rsidRDefault="00AA0483" w:rsidP="00C533BA">
      <w:pPr>
        <w:spacing w:after="0" w:line="240" w:lineRule="auto"/>
      </w:pPr>
      <w:r>
        <w:separator/>
      </w:r>
    </w:p>
  </w:footnote>
  <w:footnote w:type="continuationSeparator" w:id="0">
    <w:p w14:paraId="12B64E2C" w14:textId="77777777" w:rsidR="00AA0483" w:rsidRDefault="00AA0483" w:rsidP="00C533BA">
      <w:pPr>
        <w:spacing w:after="0" w:line="240" w:lineRule="auto"/>
      </w:pPr>
      <w:r>
        <w:continuationSeparator/>
      </w:r>
    </w:p>
  </w:footnote>
  <w:footnote w:type="continuationNotice" w:id="1">
    <w:p w14:paraId="47E24A36" w14:textId="77777777" w:rsidR="00AA0483" w:rsidRDefault="00AA048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43ED0"/>
    <w:multiLevelType w:val="multilevel"/>
    <w:tmpl w:val="FBF20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FB347F"/>
    <w:multiLevelType w:val="hybridMultilevel"/>
    <w:tmpl w:val="CFDA794C"/>
    <w:lvl w:ilvl="0" w:tplc="E848C79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0294B"/>
    <w:multiLevelType w:val="hybridMultilevel"/>
    <w:tmpl w:val="AAA40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F109A"/>
    <w:multiLevelType w:val="hybridMultilevel"/>
    <w:tmpl w:val="286C10E2"/>
    <w:lvl w:ilvl="0" w:tplc="B3FAFE7E">
      <w:start w:val="3"/>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5A15F9"/>
    <w:multiLevelType w:val="hybridMultilevel"/>
    <w:tmpl w:val="D4F0A8E4"/>
    <w:lvl w:ilvl="0" w:tplc="B3FAFE7E">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A02868"/>
    <w:multiLevelType w:val="hybridMultilevel"/>
    <w:tmpl w:val="AAAC2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586E7F"/>
    <w:multiLevelType w:val="multilevel"/>
    <w:tmpl w:val="7F3C8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DC9698E"/>
    <w:multiLevelType w:val="hybridMultilevel"/>
    <w:tmpl w:val="5630D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466324"/>
    <w:multiLevelType w:val="hybridMultilevel"/>
    <w:tmpl w:val="F7F4E4A4"/>
    <w:lvl w:ilvl="0" w:tplc="5E4C076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D671AE"/>
    <w:multiLevelType w:val="hybridMultilevel"/>
    <w:tmpl w:val="45DC5B0E"/>
    <w:lvl w:ilvl="0" w:tplc="DD885EF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D54EAE"/>
    <w:multiLevelType w:val="hybridMultilevel"/>
    <w:tmpl w:val="702EF85A"/>
    <w:lvl w:ilvl="0" w:tplc="5E4C076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991ADD"/>
    <w:multiLevelType w:val="hybridMultilevel"/>
    <w:tmpl w:val="837EE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34600C"/>
    <w:multiLevelType w:val="hybridMultilevel"/>
    <w:tmpl w:val="F488C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0660091">
    <w:abstractNumId w:val="9"/>
  </w:num>
  <w:num w:numId="2" w16cid:durableId="1324967293">
    <w:abstractNumId w:val="8"/>
  </w:num>
  <w:num w:numId="3" w16cid:durableId="1233273305">
    <w:abstractNumId w:val="10"/>
  </w:num>
  <w:num w:numId="4" w16cid:durableId="195970687">
    <w:abstractNumId w:val="0"/>
  </w:num>
  <w:num w:numId="5" w16cid:durableId="945113524">
    <w:abstractNumId w:val="6"/>
  </w:num>
  <w:num w:numId="6" w16cid:durableId="1392076064">
    <w:abstractNumId w:val="7"/>
  </w:num>
  <w:num w:numId="7" w16cid:durableId="1603491294">
    <w:abstractNumId w:val="11"/>
  </w:num>
  <w:num w:numId="8" w16cid:durableId="1269048360">
    <w:abstractNumId w:val="4"/>
  </w:num>
  <w:num w:numId="9" w16cid:durableId="1574780087">
    <w:abstractNumId w:val="3"/>
  </w:num>
  <w:num w:numId="10" w16cid:durableId="1277519617">
    <w:abstractNumId w:val="5"/>
  </w:num>
  <w:num w:numId="11" w16cid:durableId="999776552">
    <w:abstractNumId w:val="1"/>
  </w:num>
  <w:num w:numId="12" w16cid:durableId="1561162535">
    <w:abstractNumId w:val="12"/>
  </w:num>
  <w:num w:numId="13" w16cid:durableId="697704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A9B"/>
    <w:rsid w:val="00001E1F"/>
    <w:rsid w:val="00012D2F"/>
    <w:rsid w:val="00016F90"/>
    <w:rsid w:val="00023C95"/>
    <w:rsid w:val="000333CE"/>
    <w:rsid w:val="000356B5"/>
    <w:rsid w:val="0004288C"/>
    <w:rsid w:val="00043400"/>
    <w:rsid w:val="00044D81"/>
    <w:rsid w:val="00045FB1"/>
    <w:rsid w:val="000511D3"/>
    <w:rsid w:val="00051500"/>
    <w:rsid w:val="0005184D"/>
    <w:rsid w:val="00055B6C"/>
    <w:rsid w:val="0006185B"/>
    <w:rsid w:val="0006188C"/>
    <w:rsid w:val="00062324"/>
    <w:rsid w:val="000633A2"/>
    <w:rsid w:val="00064538"/>
    <w:rsid w:val="00066E82"/>
    <w:rsid w:val="00067927"/>
    <w:rsid w:val="00071E4A"/>
    <w:rsid w:val="00072F31"/>
    <w:rsid w:val="00081D74"/>
    <w:rsid w:val="000836A7"/>
    <w:rsid w:val="000847C1"/>
    <w:rsid w:val="00085967"/>
    <w:rsid w:val="00085CD9"/>
    <w:rsid w:val="00085D69"/>
    <w:rsid w:val="0008609A"/>
    <w:rsid w:val="00087D90"/>
    <w:rsid w:val="000902A0"/>
    <w:rsid w:val="00095015"/>
    <w:rsid w:val="000A19E5"/>
    <w:rsid w:val="000A7352"/>
    <w:rsid w:val="000B119D"/>
    <w:rsid w:val="000B1D9B"/>
    <w:rsid w:val="000B36A7"/>
    <w:rsid w:val="000B3F5A"/>
    <w:rsid w:val="000B668F"/>
    <w:rsid w:val="000C1701"/>
    <w:rsid w:val="000C6B1F"/>
    <w:rsid w:val="000D2A71"/>
    <w:rsid w:val="000D4C89"/>
    <w:rsid w:val="000E398E"/>
    <w:rsid w:val="000E4AEC"/>
    <w:rsid w:val="000F396C"/>
    <w:rsid w:val="00101004"/>
    <w:rsid w:val="00102248"/>
    <w:rsid w:val="0010297A"/>
    <w:rsid w:val="00110FCC"/>
    <w:rsid w:val="0012125E"/>
    <w:rsid w:val="00126BE3"/>
    <w:rsid w:val="001278AC"/>
    <w:rsid w:val="001379B5"/>
    <w:rsid w:val="00140AFE"/>
    <w:rsid w:val="00143A0E"/>
    <w:rsid w:val="00146B81"/>
    <w:rsid w:val="00154808"/>
    <w:rsid w:val="00157E74"/>
    <w:rsid w:val="001620B2"/>
    <w:rsid w:val="00162C3F"/>
    <w:rsid w:val="001700AE"/>
    <w:rsid w:val="00170AED"/>
    <w:rsid w:val="00172C89"/>
    <w:rsid w:val="00174273"/>
    <w:rsid w:val="00175021"/>
    <w:rsid w:val="001829C2"/>
    <w:rsid w:val="00183871"/>
    <w:rsid w:val="001843D4"/>
    <w:rsid w:val="00184E0E"/>
    <w:rsid w:val="00185CDB"/>
    <w:rsid w:val="00185FAD"/>
    <w:rsid w:val="0019542A"/>
    <w:rsid w:val="00197A76"/>
    <w:rsid w:val="001A1FE2"/>
    <w:rsid w:val="001A43B2"/>
    <w:rsid w:val="001A6CC0"/>
    <w:rsid w:val="001B7570"/>
    <w:rsid w:val="001C2FF9"/>
    <w:rsid w:val="001C30A6"/>
    <w:rsid w:val="001C3A86"/>
    <w:rsid w:val="001C5CE1"/>
    <w:rsid w:val="001C6A76"/>
    <w:rsid w:val="001D1938"/>
    <w:rsid w:val="001D2449"/>
    <w:rsid w:val="001D6F10"/>
    <w:rsid w:val="001E2CF7"/>
    <w:rsid w:val="001E5B35"/>
    <w:rsid w:val="001E7A9D"/>
    <w:rsid w:val="001F0E36"/>
    <w:rsid w:val="001F1BD3"/>
    <w:rsid w:val="001F3CA0"/>
    <w:rsid w:val="002040A5"/>
    <w:rsid w:val="002103BA"/>
    <w:rsid w:val="0021291D"/>
    <w:rsid w:val="002160C1"/>
    <w:rsid w:val="00216622"/>
    <w:rsid w:val="002174CF"/>
    <w:rsid w:val="002218FE"/>
    <w:rsid w:val="00231EAF"/>
    <w:rsid w:val="00233AB0"/>
    <w:rsid w:val="00242CBC"/>
    <w:rsid w:val="0024629E"/>
    <w:rsid w:val="00246CD2"/>
    <w:rsid w:val="002473C0"/>
    <w:rsid w:val="0025003B"/>
    <w:rsid w:val="002546FF"/>
    <w:rsid w:val="00263CCA"/>
    <w:rsid w:val="0026617C"/>
    <w:rsid w:val="00272556"/>
    <w:rsid w:val="00273CCB"/>
    <w:rsid w:val="00274FC8"/>
    <w:rsid w:val="00277846"/>
    <w:rsid w:val="00277FBC"/>
    <w:rsid w:val="00285B8B"/>
    <w:rsid w:val="00295187"/>
    <w:rsid w:val="0029652D"/>
    <w:rsid w:val="00296C1B"/>
    <w:rsid w:val="00297F18"/>
    <w:rsid w:val="002A4390"/>
    <w:rsid w:val="002A45AF"/>
    <w:rsid w:val="002A5452"/>
    <w:rsid w:val="002B020F"/>
    <w:rsid w:val="002B19DE"/>
    <w:rsid w:val="002B2D46"/>
    <w:rsid w:val="002B39CA"/>
    <w:rsid w:val="002B3AB3"/>
    <w:rsid w:val="002B3E94"/>
    <w:rsid w:val="002B55EE"/>
    <w:rsid w:val="002B5AE6"/>
    <w:rsid w:val="002B7752"/>
    <w:rsid w:val="002B7825"/>
    <w:rsid w:val="002C2C9B"/>
    <w:rsid w:val="002C602F"/>
    <w:rsid w:val="002C78E9"/>
    <w:rsid w:val="002C7FE5"/>
    <w:rsid w:val="002D0FE1"/>
    <w:rsid w:val="002D277D"/>
    <w:rsid w:val="002D2D11"/>
    <w:rsid w:val="002E607E"/>
    <w:rsid w:val="002E68E4"/>
    <w:rsid w:val="002E7B97"/>
    <w:rsid w:val="002F3744"/>
    <w:rsid w:val="002F6705"/>
    <w:rsid w:val="002F6BB1"/>
    <w:rsid w:val="0030113F"/>
    <w:rsid w:val="00303092"/>
    <w:rsid w:val="003055E2"/>
    <w:rsid w:val="003068F6"/>
    <w:rsid w:val="0031680F"/>
    <w:rsid w:val="00317D49"/>
    <w:rsid w:val="0032174A"/>
    <w:rsid w:val="00324B52"/>
    <w:rsid w:val="003261B5"/>
    <w:rsid w:val="00326981"/>
    <w:rsid w:val="00327FD7"/>
    <w:rsid w:val="00333053"/>
    <w:rsid w:val="003369F5"/>
    <w:rsid w:val="00344DA0"/>
    <w:rsid w:val="00347551"/>
    <w:rsid w:val="00347BFB"/>
    <w:rsid w:val="00350143"/>
    <w:rsid w:val="003504CC"/>
    <w:rsid w:val="00355315"/>
    <w:rsid w:val="00356CDC"/>
    <w:rsid w:val="003572E3"/>
    <w:rsid w:val="003663C7"/>
    <w:rsid w:val="003665D2"/>
    <w:rsid w:val="00367303"/>
    <w:rsid w:val="00376CCE"/>
    <w:rsid w:val="003779A6"/>
    <w:rsid w:val="00380262"/>
    <w:rsid w:val="00381267"/>
    <w:rsid w:val="0038788A"/>
    <w:rsid w:val="003906AD"/>
    <w:rsid w:val="00393422"/>
    <w:rsid w:val="003A0BA3"/>
    <w:rsid w:val="003A2269"/>
    <w:rsid w:val="003A641B"/>
    <w:rsid w:val="003A71BA"/>
    <w:rsid w:val="003A7EDC"/>
    <w:rsid w:val="003B2434"/>
    <w:rsid w:val="003B3B50"/>
    <w:rsid w:val="003B4806"/>
    <w:rsid w:val="003C0707"/>
    <w:rsid w:val="003C2901"/>
    <w:rsid w:val="003C430A"/>
    <w:rsid w:val="003C6570"/>
    <w:rsid w:val="003C6D3D"/>
    <w:rsid w:val="003D316E"/>
    <w:rsid w:val="003D4D08"/>
    <w:rsid w:val="003D5B21"/>
    <w:rsid w:val="003D6116"/>
    <w:rsid w:val="003D6B1C"/>
    <w:rsid w:val="003E1EB2"/>
    <w:rsid w:val="003F1F81"/>
    <w:rsid w:val="003F2ABF"/>
    <w:rsid w:val="003F41EB"/>
    <w:rsid w:val="003F4282"/>
    <w:rsid w:val="003F5B0E"/>
    <w:rsid w:val="004138F9"/>
    <w:rsid w:val="0041393F"/>
    <w:rsid w:val="00415F94"/>
    <w:rsid w:val="004213E3"/>
    <w:rsid w:val="00421765"/>
    <w:rsid w:val="00422ECC"/>
    <w:rsid w:val="00427502"/>
    <w:rsid w:val="004324FC"/>
    <w:rsid w:val="00433C3C"/>
    <w:rsid w:val="004420E9"/>
    <w:rsid w:val="0045167D"/>
    <w:rsid w:val="0045198C"/>
    <w:rsid w:val="00454F22"/>
    <w:rsid w:val="00457BF1"/>
    <w:rsid w:val="0046238B"/>
    <w:rsid w:val="00462ED0"/>
    <w:rsid w:val="00464942"/>
    <w:rsid w:val="00482EA5"/>
    <w:rsid w:val="00485D3B"/>
    <w:rsid w:val="00486109"/>
    <w:rsid w:val="00492335"/>
    <w:rsid w:val="00492A13"/>
    <w:rsid w:val="00492B8B"/>
    <w:rsid w:val="00493C01"/>
    <w:rsid w:val="00496B73"/>
    <w:rsid w:val="004978CC"/>
    <w:rsid w:val="004A0489"/>
    <w:rsid w:val="004B3C3F"/>
    <w:rsid w:val="004B5529"/>
    <w:rsid w:val="004C4FA1"/>
    <w:rsid w:val="004C5271"/>
    <w:rsid w:val="004C58CC"/>
    <w:rsid w:val="004D0EAD"/>
    <w:rsid w:val="004D28B9"/>
    <w:rsid w:val="004D34FF"/>
    <w:rsid w:val="004E412C"/>
    <w:rsid w:val="004E71FD"/>
    <w:rsid w:val="004F04BC"/>
    <w:rsid w:val="004F1F26"/>
    <w:rsid w:val="004F6347"/>
    <w:rsid w:val="004F7B07"/>
    <w:rsid w:val="00503D3F"/>
    <w:rsid w:val="00503F2E"/>
    <w:rsid w:val="00506498"/>
    <w:rsid w:val="005065B0"/>
    <w:rsid w:val="00517ED0"/>
    <w:rsid w:val="005208AE"/>
    <w:rsid w:val="00526AD9"/>
    <w:rsid w:val="005300DD"/>
    <w:rsid w:val="00531CDD"/>
    <w:rsid w:val="005320E0"/>
    <w:rsid w:val="005432AD"/>
    <w:rsid w:val="0054662A"/>
    <w:rsid w:val="00546A66"/>
    <w:rsid w:val="00547C8B"/>
    <w:rsid w:val="00555E3D"/>
    <w:rsid w:val="00557020"/>
    <w:rsid w:val="00557E75"/>
    <w:rsid w:val="005608EB"/>
    <w:rsid w:val="00563C05"/>
    <w:rsid w:val="00567347"/>
    <w:rsid w:val="00567E25"/>
    <w:rsid w:val="00574687"/>
    <w:rsid w:val="00576E52"/>
    <w:rsid w:val="005838AE"/>
    <w:rsid w:val="00585AC3"/>
    <w:rsid w:val="00587CF1"/>
    <w:rsid w:val="00592AB8"/>
    <w:rsid w:val="005A1A7D"/>
    <w:rsid w:val="005A274A"/>
    <w:rsid w:val="005A3483"/>
    <w:rsid w:val="005A3587"/>
    <w:rsid w:val="005A659D"/>
    <w:rsid w:val="005A7300"/>
    <w:rsid w:val="005A770B"/>
    <w:rsid w:val="005A798B"/>
    <w:rsid w:val="005B08B8"/>
    <w:rsid w:val="005B2D40"/>
    <w:rsid w:val="005C4AA7"/>
    <w:rsid w:val="005C50F9"/>
    <w:rsid w:val="005C5B10"/>
    <w:rsid w:val="005D152B"/>
    <w:rsid w:val="005D21DC"/>
    <w:rsid w:val="005D5937"/>
    <w:rsid w:val="005E2B93"/>
    <w:rsid w:val="005E7625"/>
    <w:rsid w:val="005F3BDC"/>
    <w:rsid w:val="005F43D0"/>
    <w:rsid w:val="00600704"/>
    <w:rsid w:val="00600BEC"/>
    <w:rsid w:val="00600EB0"/>
    <w:rsid w:val="00601BFF"/>
    <w:rsid w:val="006031D6"/>
    <w:rsid w:val="00603B13"/>
    <w:rsid w:val="00616795"/>
    <w:rsid w:val="00617BB6"/>
    <w:rsid w:val="006228CB"/>
    <w:rsid w:val="00627BCA"/>
    <w:rsid w:val="006318BF"/>
    <w:rsid w:val="0063227F"/>
    <w:rsid w:val="006327A0"/>
    <w:rsid w:val="006352AE"/>
    <w:rsid w:val="00637C05"/>
    <w:rsid w:val="006402BC"/>
    <w:rsid w:val="00641523"/>
    <w:rsid w:val="00642A1E"/>
    <w:rsid w:val="006476D0"/>
    <w:rsid w:val="00647764"/>
    <w:rsid w:val="00651890"/>
    <w:rsid w:val="006552D1"/>
    <w:rsid w:val="006565EB"/>
    <w:rsid w:val="00662183"/>
    <w:rsid w:val="00665018"/>
    <w:rsid w:val="006679B9"/>
    <w:rsid w:val="00671AE7"/>
    <w:rsid w:val="00672FD3"/>
    <w:rsid w:val="006758F0"/>
    <w:rsid w:val="00676496"/>
    <w:rsid w:val="00681B45"/>
    <w:rsid w:val="0068225F"/>
    <w:rsid w:val="00682475"/>
    <w:rsid w:val="00683FB1"/>
    <w:rsid w:val="00687ABB"/>
    <w:rsid w:val="00691F20"/>
    <w:rsid w:val="00692A8C"/>
    <w:rsid w:val="00692FFB"/>
    <w:rsid w:val="00693F2A"/>
    <w:rsid w:val="006961F0"/>
    <w:rsid w:val="0069777E"/>
    <w:rsid w:val="006A2550"/>
    <w:rsid w:val="006B4642"/>
    <w:rsid w:val="006C2A5E"/>
    <w:rsid w:val="006C2A8E"/>
    <w:rsid w:val="006C4323"/>
    <w:rsid w:val="006D16F5"/>
    <w:rsid w:val="006D1E67"/>
    <w:rsid w:val="006D3754"/>
    <w:rsid w:val="006D3908"/>
    <w:rsid w:val="006D613A"/>
    <w:rsid w:val="006D636A"/>
    <w:rsid w:val="006E0B74"/>
    <w:rsid w:val="006F35D8"/>
    <w:rsid w:val="00700DEC"/>
    <w:rsid w:val="007024BF"/>
    <w:rsid w:val="007037DB"/>
    <w:rsid w:val="00703C4F"/>
    <w:rsid w:val="007073C3"/>
    <w:rsid w:val="00710CDC"/>
    <w:rsid w:val="00720168"/>
    <w:rsid w:val="00722DF4"/>
    <w:rsid w:val="00723348"/>
    <w:rsid w:val="00727991"/>
    <w:rsid w:val="00730406"/>
    <w:rsid w:val="007308A1"/>
    <w:rsid w:val="00735334"/>
    <w:rsid w:val="007403B0"/>
    <w:rsid w:val="00742C07"/>
    <w:rsid w:val="007431E2"/>
    <w:rsid w:val="00743F60"/>
    <w:rsid w:val="00745961"/>
    <w:rsid w:val="0075314B"/>
    <w:rsid w:val="00757560"/>
    <w:rsid w:val="00757593"/>
    <w:rsid w:val="00762C15"/>
    <w:rsid w:val="007631D2"/>
    <w:rsid w:val="007759CE"/>
    <w:rsid w:val="00775C1F"/>
    <w:rsid w:val="00776795"/>
    <w:rsid w:val="00781B6F"/>
    <w:rsid w:val="00781D80"/>
    <w:rsid w:val="00783D73"/>
    <w:rsid w:val="00791E9C"/>
    <w:rsid w:val="00793E76"/>
    <w:rsid w:val="007A4899"/>
    <w:rsid w:val="007A5632"/>
    <w:rsid w:val="007A5E06"/>
    <w:rsid w:val="007A6F98"/>
    <w:rsid w:val="007B2129"/>
    <w:rsid w:val="007B3E44"/>
    <w:rsid w:val="007B449B"/>
    <w:rsid w:val="007B7D23"/>
    <w:rsid w:val="007C3844"/>
    <w:rsid w:val="007C4770"/>
    <w:rsid w:val="007D0E98"/>
    <w:rsid w:val="007D4717"/>
    <w:rsid w:val="007D6773"/>
    <w:rsid w:val="007D6B15"/>
    <w:rsid w:val="007E3A81"/>
    <w:rsid w:val="007E6F98"/>
    <w:rsid w:val="007F7B8E"/>
    <w:rsid w:val="008046B2"/>
    <w:rsid w:val="0080731E"/>
    <w:rsid w:val="00820029"/>
    <w:rsid w:val="00821132"/>
    <w:rsid w:val="00823F53"/>
    <w:rsid w:val="0082405B"/>
    <w:rsid w:val="00824FA6"/>
    <w:rsid w:val="008252BB"/>
    <w:rsid w:val="008258EE"/>
    <w:rsid w:val="00825B77"/>
    <w:rsid w:val="00825F02"/>
    <w:rsid w:val="0082761D"/>
    <w:rsid w:val="00833408"/>
    <w:rsid w:val="00846DCD"/>
    <w:rsid w:val="00850D62"/>
    <w:rsid w:val="0085186F"/>
    <w:rsid w:val="008614D5"/>
    <w:rsid w:val="00862F84"/>
    <w:rsid w:val="00862FD3"/>
    <w:rsid w:val="00870A75"/>
    <w:rsid w:val="00870BD3"/>
    <w:rsid w:val="0087482A"/>
    <w:rsid w:val="00877BF2"/>
    <w:rsid w:val="00882FD8"/>
    <w:rsid w:val="00884D06"/>
    <w:rsid w:val="00890C44"/>
    <w:rsid w:val="00891041"/>
    <w:rsid w:val="008A7636"/>
    <w:rsid w:val="008C5D2F"/>
    <w:rsid w:val="008D371A"/>
    <w:rsid w:val="008D5436"/>
    <w:rsid w:val="008D69BA"/>
    <w:rsid w:val="008D7A94"/>
    <w:rsid w:val="008E10AE"/>
    <w:rsid w:val="008E1830"/>
    <w:rsid w:val="008E4FD7"/>
    <w:rsid w:val="008E7A31"/>
    <w:rsid w:val="008E7EBD"/>
    <w:rsid w:val="008F2710"/>
    <w:rsid w:val="008F3746"/>
    <w:rsid w:val="008F6B5C"/>
    <w:rsid w:val="009003FA"/>
    <w:rsid w:val="00912E63"/>
    <w:rsid w:val="00926F6F"/>
    <w:rsid w:val="00927E0E"/>
    <w:rsid w:val="00932E00"/>
    <w:rsid w:val="009338F2"/>
    <w:rsid w:val="00935913"/>
    <w:rsid w:val="00935FDD"/>
    <w:rsid w:val="0093632E"/>
    <w:rsid w:val="0093641B"/>
    <w:rsid w:val="00941FD1"/>
    <w:rsid w:val="009453F6"/>
    <w:rsid w:val="00945811"/>
    <w:rsid w:val="009509A9"/>
    <w:rsid w:val="009517A6"/>
    <w:rsid w:val="009550A3"/>
    <w:rsid w:val="00955A37"/>
    <w:rsid w:val="00956AC5"/>
    <w:rsid w:val="00957EEE"/>
    <w:rsid w:val="0096071B"/>
    <w:rsid w:val="00961BEE"/>
    <w:rsid w:val="00966F70"/>
    <w:rsid w:val="0097546C"/>
    <w:rsid w:val="00980B9A"/>
    <w:rsid w:val="00982C88"/>
    <w:rsid w:val="00982E47"/>
    <w:rsid w:val="009862BA"/>
    <w:rsid w:val="00992665"/>
    <w:rsid w:val="009944D3"/>
    <w:rsid w:val="00996D34"/>
    <w:rsid w:val="00997A31"/>
    <w:rsid w:val="009A2EA5"/>
    <w:rsid w:val="009A4C54"/>
    <w:rsid w:val="009A5C81"/>
    <w:rsid w:val="009B0B4F"/>
    <w:rsid w:val="009B199B"/>
    <w:rsid w:val="009B3AE4"/>
    <w:rsid w:val="009B46A8"/>
    <w:rsid w:val="009B747E"/>
    <w:rsid w:val="009B78C2"/>
    <w:rsid w:val="009C0517"/>
    <w:rsid w:val="009C1997"/>
    <w:rsid w:val="009C2E39"/>
    <w:rsid w:val="009C6F66"/>
    <w:rsid w:val="009D3985"/>
    <w:rsid w:val="009E4095"/>
    <w:rsid w:val="009E409A"/>
    <w:rsid w:val="009E532B"/>
    <w:rsid w:val="009F02FE"/>
    <w:rsid w:val="009F4ED5"/>
    <w:rsid w:val="00A1081D"/>
    <w:rsid w:val="00A14589"/>
    <w:rsid w:val="00A15116"/>
    <w:rsid w:val="00A210C8"/>
    <w:rsid w:val="00A2156B"/>
    <w:rsid w:val="00A24836"/>
    <w:rsid w:val="00A269C1"/>
    <w:rsid w:val="00A2767D"/>
    <w:rsid w:val="00A345AF"/>
    <w:rsid w:val="00A358C9"/>
    <w:rsid w:val="00A37125"/>
    <w:rsid w:val="00A426AF"/>
    <w:rsid w:val="00A50BD7"/>
    <w:rsid w:val="00A50CF4"/>
    <w:rsid w:val="00A5293C"/>
    <w:rsid w:val="00A54BA4"/>
    <w:rsid w:val="00A57EC8"/>
    <w:rsid w:val="00A63A51"/>
    <w:rsid w:val="00A63C78"/>
    <w:rsid w:val="00A65B6A"/>
    <w:rsid w:val="00A6759F"/>
    <w:rsid w:val="00A703C0"/>
    <w:rsid w:val="00A74CA9"/>
    <w:rsid w:val="00A75224"/>
    <w:rsid w:val="00A75755"/>
    <w:rsid w:val="00A84A06"/>
    <w:rsid w:val="00A877FD"/>
    <w:rsid w:val="00A91AAA"/>
    <w:rsid w:val="00A93A4A"/>
    <w:rsid w:val="00A95FDD"/>
    <w:rsid w:val="00AA0483"/>
    <w:rsid w:val="00AA0973"/>
    <w:rsid w:val="00AA2006"/>
    <w:rsid w:val="00AA2043"/>
    <w:rsid w:val="00AA358D"/>
    <w:rsid w:val="00AB1DB2"/>
    <w:rsid w:val="00AB5E12"/>
    <w:rsid w:val="00AC0B2A"/>
    <w:rsid w:val="00AC2A18"/>
    <w:rsid w:val="00AC5CFE"/>
    <w:rsid w:val="00AD2C19"/>
    <w:rsid w:val="00AD489E"/>
    <w:rsid w:val="00AD767C"/>
    <w:rsid w:val="00AE1691"/>
    <w:rsid w:val="00AE453A"/>
    <w:rsid w:val="00AF2700"/>
    <w:rsid w:val="00AF30A0"/>
    <w:rsid w:val="00B04E8F"/>
    <w:rsid w:val="00B063C1"/>
    <w:rsid w:val="00B06A4A"/>
    <w:rsid w:val="00B06D91"/>
    <w:rsid w:val="00B1037E"/>
    <w:rsid w:val="00B132CD"/>
    <w:rsid w:val="00B250B0"/>
    <w:rsid w:val="00B26A92"/>
    <w:rsid w:val="00B26BAA"/>
    <w:rsid w:val="00B27404"/>
    <w:rsid w:val="00B35B04"/>
    <w:rsid w:val="00B37698"/>
    <w:rsid w:val="00B41ECF"/>
    <w:rsid w:val="00B429B7"/>
    <w:rsid w:val="00B4444A"/>
    <w:rsid w:val="00B47309"/>
    <w:rsid w:val="00B51BCA"/>
    <w:rsid w:val="00B5343E"/>
    <w:rsid w:val="00B5549F"/>
    <w:rsid w:val="00B56C53"/>
    <w:rsid w:val="00B60041"/>
    <w:rsid w:val="00B60226"/>
    <w:rsid w:val="00B61E31"/>
    <w:rsid w:val="00B63CF5"/>
    <w:rsid w:val="00B65FBB"/>
    <w:rsid w:val="00B677E2"/>
    <w:rsid w:val="00B67F78"/>
    <w:rsid w:val="00B703EC"/>
    <w:rsid w:val="00B822EF"/>
    <w:rsid w:val="00B83062"/>
    <w:rsid w:val="00B87F5D"/>
    <w:rsid w:val="00B92168"/>
    <w:rsid w:val="00B94D13"/>
    <w:rsid w:val="00B970FB"/>
    <w:rsid w:val="00B977EA"/>
    <w:rsid w:val="00BA0BB3"/>
    <w:rsid w:val="00BA142C"/>
    <w:rsid w:val="00BA4E4E"/>
    <w:rsid w:val="00BA56B2"/>
    <w:rsid w:val="00BC27D7"/>
    <w:rsid w:val="00BC2BA9"/>
    <w:rsid w:val="00BC4E50"/>
    <w:rsid w:val="00BC6CC4"/>
    <w:rsid w:val="00BC78E0"/>
    <w:rsid w:val="00BD06B5"/>
    <w:rsid w:val="00BD0AE4"/>
    <w:rsid w:val="00BD3198"/>
    <w:rsid w:val="00BD39EC"/>
    <w:rsid w:val="00BE045A"/>
    <w:rsid w:val="00BE1D6B"/>
    <w:rsid w:val="00BE224F"/>
    <w:rsid w:val="00BE2A07"/>
    <w:rsid w:val="00BE5DBA"/>
    <w:rsid w:val="00BF0F9B"/>
    <w:rsid w:val="00BF308D"/>
    <w:rsid w:val="00BF3F7A"/>
    <w:rsid w:val="00BF7ECF"/>
    <w:rsid w:val="00C01FDB"/>
    <w:rsid w:val="00C0690F"/>
    <w:rsid w:val="00C0708D"/>
    <w:rsid w:val="00C102AF"/>
    <w:rsid w:val="00C130AA"/>
    <w:rsid w:val="00C23FEB"/>
    <w:rsid w:val="00C24793"/>
    <w:rsid w:val="00C30B54"/>
    <w:rsid w:val="00C443C6"/>
    <w:rsid w:val="00C46543"/>
    <w:rsid w:val="00C470BA"/>
    <w:rsid w:val="00C50A78"/>
    <w:rsid w:val="00C51557"/>
    <w:rsid w:val="00C533BA"/>
    <w:rsid w:val="00C60ABE"/>
    <w:rsid w:val="00C60D71"/>
    <w:rsid w:val="00C7198B"/>
    <w:rsid w:val="00C72330"/>
    <w:rsid w:val="00C766A2"/>
    <w:rsid w:val="00C8126B"/>
    <w:rsid w:val="00C837A2"/>
    <w:rsid w:val="00C93DEA"/>
    <w:rsid w:val="00CA0793"/>
    <w:rsid w:val="00CA3397"/>
    <w:rsid w:val="00CA6CBC"/>
    <w:rsid w:val="00CA6D70"/>
    <w:rsid w:val="00CB0491"/>
    <w:rsid w:val="00CB13B1"/>
    <w:rsid w:val="00CB2F87"/>
    <w:rsid w:val="00CB49C2"/>
    <w:rsid w:val="00CB6AE9"/>
    <w:rsid w:val="00CB7988"/>
    <w:rsid w:val="00CC2072"/>
    <w:rsid w:val="00CC35B5"/>
    <w:rsid w:val="00CC4DD1"/>
    <w:rsid w:val="00CC574A"/>
    <w:rsid w:val="00CC7214"/>
    <w:rsid w:val="00CD0892"/>
    <w:rsid w:val="00CD0C6C"/>
    <w:rsid w:val="00CD26E6"/>
    <w:rsid w:val="00CD2B7D"/>
    <w:rsid w:val="00CD511F"/>
    <w:rsid w:val="00CD7E27"/>
    <w:rsid w:val="00CE1B3F"/>
    <w:rsid w:val="00CE4164"/>
    <w:rsid w:val="00CE6D0D"/>
    <w:rsid w:val="00CE759B"/>
    <w:rsid w:val="00CF403F"/>
    <w:rsid w:val="00CF685B"/>
    <w:rsid w:val="00CF7072"/>
    <w:rsid w:val="00CF7A2C"/>
    <w:rsid w:val="00D010B9"/>
    <w:rsid w:val="00D021DB"/>
    <w:rsid w:val="00D02F2E"/>
    <w:rsid w:val="00D10BD7"/>
    <w:rsid w:val="00D14578"/>
    <w:rsid w:val="00D150F5"/>
    <w:rsid w:val="00D16661"/>
    <w:rsid w:val="00D250FD"/>
    <w:rsid w:val="00D253C1"/>
    <w:rsid w:val="00D27729"/>
    <w:rsid w:val="00D302B0"/>
    <w:rsid w:val="00D32DC4"/>
    <w:rsid w:val="00D33CF8"/>
    <w:rsid w:val="00D50777"/>
    <w:rsid w:val="00D52D69"/>
    <w:rsid w:val="00D534B9"/>
    <w:rsid w:val="00D543AF"/>
    <w:rsid w:val="00D60C5E"/>
    <w:rsid w:val="00D626EF"/>
    <w:rsid w:val="00D63F16"/>
    <w:rsid w:val="00D646FB"/>
    <w:rsid w:val="00D65543"/>
    <w:rsid w:val="00D6689F"/>
    <w:rsid w:val="00D7453C"/>
    <w:rsid w:val="00D748E6"/>
    <w:rsid w:val="00D77DD9"/>
    <w:rsid w:val="00D80B1C"/>
    <w:rsid w:val="00D945BC"/>
    <w:rsid w:val="00D97301"/>
    <w:rsid w:val="00DA3841"/>
    <w:rsid w:val="00DA417F"/>
    <w:rsid w:val="00DA453A"/>
    <w:rsid w:val="00DB5D71"/>
    <w:rsid w:val="00DB7946"/>
    <w:rsid w:val="00DC4F20"/>
    <w:rsid w:val="00DC7644"/>
    <w:rsid w:val="00DD5D17"/>
    <w:rsid w:val="00DD6697"/>
    <w:rsid w:val="00DD6EA8"/>
    <w:rsid w:val="00DD70C8"/>
    <w:rsid w:val="00DE3CE1"/>
    <w:rsid w:val="00DE45BF"/>
    <w:rsid w:val="00DE5465"/>
    <w:rsid w:val="00DE7289"/>
    <w:rsid w:val="00DF5649"/>
    <w:rsid w:val="00DF5F83"/>
    <w:rsid w:val="00E06FB0"/>
    <w:rsid w:val="00E20ECC"/>
    <w:rsid w:val="00E211C3"/>
    <w:rsid w:val="00E242E5"/>
    <w:rsid w:val="00E248BF"/>
    <w:rsid w:val="00E35D18"/>
    <w:rsid w:val="00E44B69"/>
    <w:rsid w:val="00E47DB5"/>
    <w:rsid w:val="00E501DD"/>
    <w:rsid w:val="00E52A9B"/>
    <w:rsid w:val="00E64012"/>
    <w:rsid w:val="00E65345"/>
    <w:rsid w:val="00E81714"/>
    <w:rsid w:val="00E9575A"/>
    <w:rsid w:val="00E9643A"/>
    <w:rsid w:val="00EA28DC"/>
    <w:rsid w:val="00EA2C0D"/>
    <w:rsid w:val="00EA7FB5"/>
    <w:rsid w:val="00EB2B7A"/>
    <w:rsid w:val="00EB2CC0"/>
    <w:rsid w:val="00EB7778"/>
    <w:rsid w:val="00EC0A03"/>
    <w:rsid w:val="00EC10EF"/>
    <w:rsid w:val="00EC56BF"/>
    <w:rsid w:val="00EC7CBA"/>
    <w:rsid w:val="00ED0E7B"/>
    <w:rsid w:val="00ED348C"/>
    <w:rsid w:val="00ED3C56"/>
    <w:rsid w:val="00ED4AA3"/>
    <w:rsid w:val="00ED4D40"/>
    <w:rsid w:val="00ED6832"/>
    <w:rsid w:val="00EE3325"/>
    <w:rsid w:val="00EE34DF"/>
    <w:rsid w:val="00EE4B74"/>
    <w:rsid w:val="00EF0DD3"/>
    <w:rsid w:val="00EF0F0D"/>
    <w:rsid w:val="00EF2CF0"/>
    <w:rsid w:val="00EF6243"/>
    <w:rsid w:val="00EF798A"/>
    <w:rsid w:val="00EF9AA2"/>
    <w:rsid w:val="00F001F0"/>
    <w:rsid w:val="00F02227"/>
    <w:rsid w:val="00F03280"/>
    <w:rsid w:val="00F10302"/>
    <w:rsid w:val="00F128E3"/>
    <w:rsid w:val="00F132A3"/>
    <w:rsid w:val="00F16C8A"/>
    <w:rsid w:val="00F2251C"/>
    <w:rsid w:val="00F252F4"/>
    <w:rsid w:val="00F254A5"/>
    <w:rsid w:val="00F2606A"/>
    <w:rsid w:val="00F327D8"/>
    <w:rsid w:val="00F3705A"/>
    <w:rsid w:val="00F37B75"/>
    <w:rsid w:val="00F37E61"/>
    <w:rsid w:val="00F37ED2"/>
    <w:rsid w:val="00F43489"/>
    <w:rsid w:val="00F52158"/>
    <w:rsid w:val="00F5707E"/>
    <w:rsid w:val="00F6331F"/>
    <w:rsid w:val="00F63B8A"/>
    <w:rsid w:val="00F6565C"/>
    <w:rsid w:val="00F65BF3"/>
    <w:rsid w:val="00F73EE2"/>
    <w:rsid w:val="00F85902"/>
    <w:rsid w:val="00F87C80"/>
    <w:rsid w:val="00F90524"/>
    <w:rsid w:val="00F94AD4"/>
    <w:rsid w:val="00F97AE6"/>
    <w:rsid w:val="00FA2B2A"/>
    <w:rsid w:val="00FA30C5"/>
    <w:rsid w:val="00FA5261"/>
    <w:rsid w:val="00FB0B93"/>
    <w:rsid w:val="00FB114F"/>
    <w:rsid w:val="00FB64C7"/>
    <w:rsid w:val="00FC1D9E"/>
    <w:rsid w:val="00FC1ECE"/>
    <w:rsid w:val="00FC5135"/>
    <w:rsid w:val="00FC6FC3"/>
    <w:rsid w:val="00FD0135"/>
    <w:rsid w:val="00FD0C71"/>
    <w:rsid w:val="00FE05F2"/>
    <w:rsid w:val="00FE08BF"/>
    <w:rsid w:val="00FE2FBB"/>
    <w:rsid w:val="00FE3732"/>
    <w:rsid w:val="00FE70E9"/>
    <w:rsid w:val="00FF00F1"/>
    <w:rsid w:val="00FF12C4"/>
    <w:rsid w:val="00FF2030"/>
    <w:rsid w:val="00FF2A0B"/>
    <w:rsid w:val="01F39B52"/>
    <w:rsid w:val="0359008D"/>
    <w:rsid w:val="06C0982A"/>
    <w:rsid w:val="0907CDCA"/>
    <w:rsid w:val="0964E646"/>
    <w:rsid w:val="0989CFCD"/>
    <w:rsid w:val="099DCC33"/>
    <w:rsid w:val="0A2F40E6"/>
    <w:rsid w:val="0A5486D6"/>
    <w:rsid w:val="0B278D08"/>
    <w:rsid w:val="0C8FAD77"/>
    <w:rsid w:val="0DE4080F"/>
    <w:rsid w:val="10E4B780"/>
    <w:rsid w:val="137DB274"/>
    <w:rsid w:val="1603CF31"/>
    <w:rsid w:val="167D23AC"/>
    <w:rsid w:val="16CC62EC"/>
    <w:rsid w:val="172B2E9C"/>
    <w:rsid w:val="19A9367F"/>
    <w:rsid w:val="1A8FC8AE"/>
    <w:rsid w:val="1CDF81DF"/>
    <w:rsid w:val="1D3B6154"/>
    <w:rsid w:val="1D693B72"/>
    <w:rsid w:val="1E79E012"/>
    <w:rsid w:val="20DDBBBC"/>
    <w:rsid w:val="20FBD464"/>
    <w:rsid w:val="21193D6A"/>
    <w:rsid w:val="21EE8B29"/>
    <w:rsid w:val="22102BE2"/>
    <w:rsid w:val="246CFE4C"/>
    <w:rsid w:val="24D8A648"/>
    <w:rsid w:val="25EB73C1"/>
    <w:rsid w:val="26D59932"/>
    <w:rsid w:val="29E3ABAB"/>
    <w:rsid w:val="2BF2DE09"/>
    <w:rsid w:val="2DA5D41B"/>
    <w:rsid w:val="2F1DB39D"/>
    <w:rsid w:val="2F8C58EE"/>
    <w:rsid w:val="3071F87B"/>
    <w:rsid w:val="31269809"/>
    <w:rsid w:val="313EAC90"/>
    <w:rsid w:val="31556266"/>
    <w:rsid w:val="31B3478A"/>
    <w:rsid w:val="322715AC"/>
    <w:rsid w:val="331A39DD"/>
    <w:rsid w:val="345A673F"/>
    <w:rsid w:val="3A065C4D"/>
    <w:rsid w:val="3CFCC4C6"/>
    <w:rsid w:val="3D8194C1"/>
    <w:rsid w:val="3E7AA2CD"/>
    <w:rsid w:val="3EC34C03"/>
    <w:rsid w:val="440ADCE9"/>
    <w:rsid w:val="443C5288"/>
    <w:rsid w:val="44B92003"/>
    <w:rsid w:val="45975EC7"/>
    <w:rsid w:val="46685AAA"/>
    <w:rsid w:val="47520E28"/>
    <w:rsid w:val="47561A55"/>
    <w:rsid w:val="48E36C26"/>
    <w:rsid w:val="4963718D"/>
    <w:rsid w:val="49CBE3D6"/>
    <w:rsid w:val="4AA77992"/>
    <w:rsid w:val="4B0CEC1C"/>
    <w:rsid w:val="4B1F05B3"/>
    <w:rsid w:val="4D3CA76A"/>
    <w:rsid w:val="4E0631E7"/>
    <w:rsid w:val="4EF9B37F"/>
    <w:rsid w:val="515228B4"/>
    <w:rsid w:val="51AC895A"/>
    <w:rsid w:val="51B618E2"/>
    <w:rsid w:val="540DB075"/>
    <w:rsid w:val="568153F9"/>
    <w:rsid w:val="56BA6DF3"/>
    <w:rsid w:val="586F8000"/>
    <w:rsid w:val="5A0CBCD6"/>
    <w:rsid w:val="5B5121CD"/>
    <w:rsid w:val="5C00F554"/>
    <w:rsid w:val="5C18A6A8"/>
    <w:rsid w:val="5E2CDE8B"/>
    <w:rsid w:val="5E71E405"/>
    <w:rsid w:val="5E88C28F"/>
    <w:rsid w:val="5F14D48F"/>
    <w:rsid w:val="63C9FA3E"/>
    <w:rsid w:val="6496F086"/>
    <w:rsid w:val="64B59334"/>
    <w:rsid w:val="65F809B8"/>
    <w:rsid w:val="66215382"/>
    <w:rsid w:val="66792CAC"/>
    <w:rsid w:val="682A336A"/>
    <w:rsid w:val="68A0B667"/>
    <w:rsid w:val="6B31CEAA"/>
    <w:rsid w:val="6B67CC50"/>
    <w:rsid w:val="6C15C77F"/>
    <w:rsid w:val="6CD66887"/>
    <w:rsid w:val="6D278EDB"/>
    <w:rsid w:val="6E337CA4"/>
    <w:rsid w:val="6E5008E6"/>
    <w:rsid w:val="702DCB57"/>
    <w:rsid w:val="71168BA4"/>
    <w:rsid w:val="719693BE"/>
    <w:rsid w:val="71D55588"/>
    <w:rsid w:val="76FBBFD9"/>
    <w:rsid w:val="77228AF2"/>
    <w:rsid w:val="774821EC"/>
    <w:rsid w:val="7A709394"/>
    <w:rsid w:val="7B93E116"/>
    <w:rsid w:val="7D2E70AB"/>
    <w:rsid w:val="7FFCA2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D27740"/>
  <w15:chartTrackingRefBased/>
  <w15:docId w15:val="{0022017F-D9AD-4978-B909-8BD4A379B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7B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52A9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2A9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E52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12C4"/>
    <w:pPr>
      <w:ind w:left="720"/>
      <w:contextualSpacing/>
    </w:pPr>
  </w:style>
  <w:style w:type="character" w:styleId="CommentReference">
    <w:name w:val="annotation reference"/>
    <w:basedOn w:val="DefaultParagraphFont"/>
    <w:uiPriority w:val="99"/>
    <w:semiHidden/>
    <w:unhideWhenUsed/>
    <w:rsid w:val="00FF12C4"/>
    <w:rPr>
      <w:sz w:val="16"/>
      <w:szCs w:val="16"/>
    </w:rPr>
  </w:style>
  <w:style w:type="paragraph" w:styleId="CommentText">
    <w:name w:val="annotation text"/>
    <w:basedOn w:val="Normal"/>
    <w:link w:val="CommentTextChar"/>
    <w:uiPriority w:val="99"/>
    <w:unhideWhenUsed/>
    <w:rsid w:val="00FF12C4"/>
    <w:pPr>
      <w:spacing w:line="240" w:lineRule="auto"/>
    </w:pPr>
    <w:rPr>
      <w:sz w:val="20"/>
      <w:szCs w:val="20"/>
    </w:rPr>
  </w:style>
  <w:style w:type="character" w:customStyle="1" w:styleId="CommentTextChar">
    <w:name w:val="Comment Text Char"/>
    <w:basedOn w:val="DefaultParagraphFont"/>
    <w:link w:val="CommentText"/>
    <w:uiPriority w:val="99"/>
    <w:rsid w:val="00FF12C4"/>
    <w:rPr>
      <w:sz w:val="20"/>
      <w:szCs w:val="20"/>
    </w:rPr>
  </w:style>
  <w:style w:type="paragraph" w:styleId="Revision">
    <w:name w:val="Revision"/>
    <w:hidden/>
    <w:uiPriority w:val="99"/>
    <w:semiHidden/>
    <w:rsid w:val="004420E9"/>
    <w:pPr>
      <w:spacing w:after="0" w:line="240" w:lineRule="auto"/>
    </w:pPr>
  </w:style>
  <w:style w:type="paragraph" w:styleId="CommentSubject">
    <w:name w:val="annotation subject"/>
    <w:basedOn w:val="CommentText"/>
    <w:next w:val="CommentText"/>
    <w:link w:val="CommentSubjectChar"/>
    <w:uiPriority w:val="99"/>
    <w:semiHidden/>
    <w:unhideWhenUsed/>
    <w:rsid w:val="009B3AE4"/>
    <w:rPr>
      <w:b/>
      <w:bCs/>
    </w:rPr>
  </w:style>
  <w:style w:type="character" w:customStyle="1" w:styleId="CommentSubjectChar">
    <w:name w:val="Comment Subject Char"/>
    <w:basedOn w:val="CommentTextChar"/>
    <w:link w:val="CommentSubject"/>
    <w:uiPriority w:val="99"/>
    <w:semiHidden/>
    <w:rsid w:val="009B3AE4"/>
    <w:rPr>
      <w:b/>
      <w:bCs/>
      <w:sz w:val="20"/>
      <w:szCs w:val="20"/>
    </w:rPr>
  </w:style>
  <w:style w:type="paragraph" w:styleId="Header">
    <w:name w:val="header"/>
    <w:basedOn w:val="Normal"/>
    <w:link w:val="HeaderChar"/>
    <w:uiPriority w:val="99"/>
    <w:unhideWhenUsed/>
    <w:rsid w:val="001C5C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CE1"/>
  </w:style>
  <w:style w:type="paragraph" w:styleId="Footer">
    <w:name w:val="footer"/>
    <w:basedOn w:val="Normal"/>
    <w:link w:val="FooterChar"/>
    <w:uiPriority w:val="99"/>
    <w:unhideWhenUsed/>
    <w:rsid w:val="001C5C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CE1"/>
  </w:style>
  <w:style w:type="character" w:styleId="Mention">
    <w:name w:val="Mention"/>
    <w:basedOn w:val="DefaultParagraphFont"/>
    <w:uiPriority w:val="99"/>
    <w:unhideWhenUsed/>
    <w:rsid w:val="00327FD7"/>
    <w:rPr>
      <w:color w:val="2B579A"/>
      <w:shd w:val="clear" w:color="auto" w:fill="E6E6E6"/>
    </w:rPr>
  </w:style>
  <w:style w:type="character" w:styleId="UnresolvedMention">
    <w:name w:val="Unresolved Mention"/>
    <w:basedOn w:val="DefaultParagraphFont"/>
    <w:uiPriority w:val="99"/>
    <w:unhideWhenUsed/>
    <w:rsid w:val="00B60041"/>
    <w:rPr>
      <w:color w:val="605E5C"/>
      <w:shd w:val="clear" w:color="auto" w:fill="E1DFDD"/>
    </w:rPr>
  </w:style>
  <w:style w:type="paragraph" w:styleId="NormalWeb">
    <w:name w:val="Normal (Web)"/>
    <w:basedOn w:val="Normal"/>
    <w:uiPriority w:val="99"/>
    <w:semiHidden/>
    <w:unhideWhenUsed/>
    <w:rsid w:val="00671A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B5D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B5D71"/>
  </w:style>
  <w:style w:type="character" w:customStyle="1" w:styleId="eop">
    <w:name w:val="eop"/>
    <w:basedOn w:val="DefaultParagraphFont"/>
    <w:rsid w:val="00DB5D71"/>
  </w:style>
  <w:style w:type="character" w:styleId="Hyperlink">
    <w:name w:val="Hyperlink"/>
    <w:basedOn w:val="DefaultParagraphFont"/>
    <w:uiPriority w:val="99"/>
    <w:unhideWhenUsed/>
    <w:rsid w:val="001700AE"/>
    <w:rPr>
      <w:color w:val="0563C1" w:themeColor="hyperlink"/>
      <w:u w:val="single"/>
    </w:rPr>
  </w:style>
  <w:style w:type="character" w:customStyle="1" w:styleId="cf01">
    <w:name w:val="cf01"/>
    <w:basedOn w:val="DefaultParagraphFont"/>
    <w:rsid w:val="001700AE"/>
    <w:rPr>
      <w:rFonts w:ascii="Segoe UI" w:hAnsi="Segoe UI" w:cs="Segoe UI" w:hint="default"/>
      <w:sz w:val="18"/>
      <w:szCs w:val="18"/>
    </w:rPr>
  </w:style>
  <w:style w:type="character" w:customStyle="1" w:styleId="Heading1Char">
    <w:name w:val="Heading 1 Char"/>
    <w:basedOn w:val="DefaultParagraphFont"/>
    <w:link w:val="Heading1"/>
    <w:uiPriority w:val="9"/>
    <w:rsid w:val="00457BF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908872">
      <w:bodyDiv w:val="1"/>
      <w:marLeft w:val="0"/>
      <w:marRight w:val="0"/>
      <w:marTop w:val="0"/>
      <w:marBottom w:val="0"/>
      <w:divBdr>
        <w:top w:val="none" w:sz="0" w:space="0" w:color="auto"/>
        <w:left w:val="none" w:sz="0" w:space="0" w:color="auto"/>
        <w:bottom w:val="none" w:sz="0" w:space="0" w:color="auto"/>
        <w:right w:val="none" w:sz="0" w:space="0" w:color="auto"/>
      </w:divBdr>
    </w:div>
    <w:div w:id="691346561">
      <w:bodyDiv w:val="1"/>
      <w:marLeft w:val="0"/>
      <w:marRight w:val="0"/>
      <w:marTop w:val="0"/>
      <w:marBottom w:val="0"/>
      <w:divBdr>
        <w:top w:val="none" w:sz="0" w:space="0" w:color="auto"/>
        <w:left w:val="none" w:sz="0" w:space="0" w:color="auto"/>
        <w:bottom w:val="none" w:sz="0" w:space="0" w:color="auto"/>
        <w:right w:val="none" w:sz="0" w:space="0" w:color="auto"/>
      </w:divBdr>
    </w:div>
    <w:div w:id="1865555527">
      <w:bodyDiv w:val="1"/>
      <w:marLeft w:val="0"/>
      <w:marRight w:val="0"/>
      <w:marTop w:val="0"/>
      <w:marBottom w:val="0"/>
      <w:divBdr>
        <w:top w:val="none" w:sz="0" w:space="0" w:color="auto"/>
        <w:left w:val="none" w:sz="0" w:space="0" w:color="auto"/>
        <w:bottom w:val="none" w:sz="0" w:space="0" w:color="auto"/>
        <w:right w:val="none" w:sz="0" w:space="0" w:color="auto"/>
      </w:divBdr>
    </w:div>
    <w:div w:id="206702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BAFE6BDBB52F4493AF5D72266BCA35" ma:contentTypeVersion="17" ma:contentTypeDescription="Create a new document." ma:contentTypeScope="" ma:versionID="26d445d874c7de0d1a46e7c05d7571c7">
  <xsd:schema xmlns:xsd="http://www.w3.org/2001/XMLSchema" xmlns:xs="http://www.w3.org/2001/XMLSchema" xmlns:p="http://schemas.microsoft.com/office/2006/metadata/properties" xmlns:ns2="52203f78-8bb0-431f-b60e-0a25cb4a5ccc" xmlns:ns3="f70b641b-dce5-4baa-ba0a-6d5e377b7444" xmlns:ns4="6e78ff2e-7cd1-4db1-a5aa-e80c3081f3be" targetNamespace="http://schemas.microsoft.com/office/2006/metadata/properties" ma:root="true" ma:fieldsID="c711b3022134ff5ccec31dfbb7d0a0f6" ns2:_="" ns3:_="" ns4:_="">
    <xsd:import namespace="52203f78-8bb0-431f-b60e-0a25cb4a5ccc"/>
    <xsd:import namespace="f70b641b-dce5-4baa-ba0a-6d5e377b7444"/>
    <xsd:import namespace="6e78ff2e-7cd1-4db1-a5aa-e80c3081f3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203f78-8bb0-431f-b60e-0a25cb4a5c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57a171-654f-4563-9f59-7d53f9f4325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0b641b-dce5-4baa-ba0a-6d5e377b744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78ff2e-7cd1-4db1-a5aa-e80c3081f3be"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61f6598b-9072-4484-a9cb-8ac4d27abc25}" ma:internalName="TaxCatchAll" ma:showField="CatchAllData" ma:web="f70b641b-dce5-4baa-ba0a-6d5e377b74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203f78-8bb0-431f-b60e-0a25cb4a5ccc">
      <Terms xmlns="http://schemas.microsoft.com/office/infopath/2007/PartnerControls"/>
    </lcf76f155ced4ddcb4097134ff3c332f>
    <TaxCatchAll xmlns="6e78ff2e-7cd1-4db1-a5aa-e80c3081f3be" xsi:nil="true"/>
  </documentManagement>
</p:properties>
</file>

<file path=customXml/itemProps1.xml><?xml version="1.0" encoding="utf-8"?>
<ds:datastoreItem xmlns:ds="http://schemas.openxmlformats.org/officeDocument/2006/customXml" ds:itemID="{1713123C-4E6B-4220-9BD2-9FE5C8023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203f78-8bb0-431f-b60e-0a25cb4a5ccc"/>
    <ds:schemaRef ds:uri="f70b641b-dce5-4baa-ba0a-6d5e377b7444"/>
    <ds:schemaRef ds:uri="6e78ff2e-7cd1-4db1-a5aa-e80c3081f3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01F441-2DB6-40C0-B0EA-10150E190CBA}">
  <ds:schemaRefs>
    <ds:schemaRef ds:uri="http://schemas.microsoft.com/sharepoint/v3/contenttype/forms"/>
  </ds:schemaRefs>
</ds:datastoreItem>
</file>

<file path=customXml/itemProps3.xml><?xml version="1.0" encoding="utf-8"?>
<ds:datastoreItem xmlns:ds="http://schemas.openxmlformats.org/officeDocument/2006/customXml" ds:itemID="{52E089EE-F6A6-43A7-A9A9-8EAE31AADB8C}">
  <ds:schemaRefs>
    <ds:schemaRef ds:uri="http://schemas.microsoft.com/office/2006/metadata/properties"/>
    <ds:schemaRef ds:uri="http://schemas.microsoft.com/office/infopath/2007/PartnerControls"/>
    <ds:schemaRef ds:uri="52203f78-8bb0-431f-b60e-0a25cb4a5ccc"/>
    <ds:schemaRef ds:uri="6e78ff2e-7cd1-4db1-a5aa-e80c3081f3be"/>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371</Words>
  <Characters>2056</Characters>
  <Application>Microsoft Office Word</Application>
  <DocSecurity>0</DocSecurity>
  <Lines>17</Lines>
  <Paragraphs>4</Paragraphs>
  <ScaleCrop>false</ScaleCrop>
  <Company>Morningstar</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 Maginity</dc:creator>
  <cp:keywords/>
  <dc:description/>
  <cp:lastModifiedBy>Heather OReilly</cp:lastModifiedBy>
  <cp:revision>162</cp:revision>
  <dcterms:created xsi:type="dcterms:W3CDTF">2024-01-04T17:43:00Z</dcterms:created>
  <dcterms:modified xsi:type="dcterms:W3CDTF">2025-05-08T23:26:00Z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0x0101006CBAFE6BDBB52F4493AF5D72266BCA35</vt:lpwstr>
  </property>
  <property fmtid="{D5CDD505-2E9C-101B-9397-08002B2CF9AE}" pid="3" name="MediaServiceImageTags">
    <vt:lpwstr/>
  </property>
  <property fmtid="{D5CDD505-2E9C-101B-9397-08002B2CF9AE}" pid="4" name="GrammarlyDocumentId">
    <vt:lpwstr>1a2fda073ddd171e102d15a88e2dd45322c29d3ae16c6265ddaa6ca0584f5ad4</vt:lpwstr>
  </property>
</Properties>
</file>